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FB" w:rsidRPr="00D24CFB" w:rsidRDefault="00A26658" w:rsidP="00D24CFB">
      <w:pPr>
        <w:shd w:val="clear" w:color="auto" w:fill="FFFFFF"/>
        <w:spacing w:after="60" w:line="240" w:lineRule="auto"/>
        <w:outlineLvl w:val="2"/>
        <w:rPr>
          <w:rFonts w:ascii="Georgia" w:eastAsia="Times New Roman" w:hAnsi="Georgia" w:cs="Times New Roman"/>
          <w:b/>
          <w:bCs/>
          <w:color w:val="333333"/>
          <w:sz w:val="31"/>
          <w:szCs w:val="31"/>
        </w:rPr>
      </w:pPr>
      <w:hyperlink r:id="rId5" w:history="1">
        <w:r w:rsidR="00D24CFB" w:rsidRPr="00D24CFB">
          <w:rPr>
            <w:rFonts w:ascii="Georgia" w:eastAsia="Times New Roman" w:hAnsi="Georgia" w:cs="Times New Roman"/>
            <w:b/>
            <w:bCs/>
            <w:color w:val="333333"/>
            <w:sz w:val="31"/>
          </w:rPr>
          <w:t>Cryopreservation of Stem Cells: Evaluating Approaches for Clinical Potential</w:t>
        </w:r>
      </w:hyperlink>
    </w:p>
    <w:p w:rsidR="00D24CFB" w:rsidRDefault="00D24CFB">
      <w:pPr>
        <w:rPr>
          <w:rStyle w:val="updated-date"/>
          <w:rFonts w:ascii="Helvetica" w:hAnsi="Helvetica" w:cs="Helvetica"/>
          <w:caps/>
          <w:color w:val="999999"/>
          <w:shd w:val="clear" w:color="auto" w:fill="FFFFFF"/>
        </w:rPr>
      </w:pPr>
      <w:r>
        <w:rPr>
          <w:rStyle w:val="posted-date"/>
          <w:rFonts w:ascii="Helvetica" w:hAnsi="Helvetica" w:cs="Helvetica"/>
          <w:caps/>
          <w:color w:val="333333"/>
          <w:shd w:val="clear" w:color="auto" w:fill="FFFFFF"/>
        </w:rPr>
        <w:t>POSTED ON</w:t>
      </w:r>
      <w:r>
        <w:rPr>
          <w:rStyle w:val="apple-converted-space"/>
          <w:rFonts w:ascii="Helvetica" w:hAnsi="Helvetica" w:cs="Helvetica"/>
          <w:caps/>
          <w:color w:val="333333"/>
          <w:shd w:val="clear" w:color="auto" w:fill="FFFFFF"/>
        </w:rPr>
        <w:t> </w:t>
      </w:r>
      <w:hyperlink r:id="rId6" w:tooltip="6:33 pm" w:history="1">
        <w:r>
          <w:rPr>
            <w:rStyle w:val="Hyperlink"/>
            <w:rFonts w:ascii="Helvetica" w:hAnsi="Helvetica" w:cs="Helvetica"/>
            <w:caps/>
            <w:color w:val="6D61B6"/>
            <w:shd w:val="clear" w:color="auto" w:fill="FFFFFF"/>
          </w:rPr>
          <w:t>FEBRUARY 15, 2015</w:t>
        </w:r>
      </w:hyperlink>
      <w:r>
        <w:rPr>
          <w:rStyle w:val="apple-converted-space"/>
          <w:rFonts w:ascii="Helvetica" w:hAnsi="Helvetica" w:cs="Helvetica"/>
          <w:caps/>
          <w:color w:val="6D61B6"/>
          <w:shd w:val="clear" w:color="auto" w:fill="FFFFFF"/>
        </w:rPr>
        <w:t> </w:t>
      </w:r>
      <w:r>
        <w:rPr>
          <w:rStyle w:val="updated-date"/>
          <w:rFonts w:ascii="Helvetica" w:hAnsi="Helvetica" w:cs="Helvetica"/>
          <w:caps/>
          <w:color w:val="999999"/>
          <w:shd w:val="clear" w:color="auto" w:fill="FFFFFF"/>
        </w:rPr>
        <w:t>UPDATED ON</w:t>
      </w:r>
      <w:r>
        <w:rPr>
          <w:rStyle w:val="apple-converted-space"/>
          <w:rFonts w:ascii="Helvetica" w:hAnsi="Helvetica" w:cs="Helvetica"/>
          <w:caps/>
          <w:color w:val="999999"/>
          <w:shd w:val="clear" w:color="auto" w:fill="FFFFFF"/>
        </w:rPr>
        <w:t> </w:t>
      </w:r>
      <w:hyperlink r:id="rId7" w:tooltip="6:33 pm" w:history="1">
        <w:r>
          <w:rPr>
            <w:rStyle w:val="Hyperlink"/>
            <w:rFonts w:ascii="Helvetica" w:hAnsi="Helvetica" w:cs="Helvetica"/>
            <w:caps/>
            <w:color w:val="333333"/>
            <w:shd w:val="clear" w:color="auto" w:fill="FFFFFF"/>
          </w:rPr>
          <w:t>FEBRUARY 16, 2015</w:t>
        </w:r>
      </w:hyperlink>
    </w:p>
    <w:p w:rsidR="00D24CFB" w:rsidRPr="00D24CFB" w:rsidRDefault="00D24CFB" w:rsidP="00D24CFB">
      <w:pPr>
        <w:shd w:val="clear" w:color="auto" w:fill="FFFFFF"/>
        <w:spacing w:after="150" w:line="300" w:lineRule="atLeast"/>
        <w:rPr>
          <w:rFonts w:ascii="Helvetica" w:eastAsia="Times New Roman" w:hAnsi="Helvetica" w:cs="Helvetica"/>
          <w:noProof/>
          <w:color w:val="666666"/>
        </w:rPr>
      </w:pPr>
      <w:r w:rsidRPr="00D24CFB">
        <w:rPr>
          <w:rFonts w:ascii="Helvetica" w:eastAsia="Times New Roman" w:hAnsi="Helvetica" w:cs="Helvetica"/>
          <w:noProof/>
          <w:color w:val="666666"/>
        </w:rPr>
        <w:t>Despite a growing number of publications discussing various aspects of stem cell cryopreservation, a clear understanding of an optimal set of guidelines, including protocols and, most importantly, cryopreservation solutions that are clinically-suitable is still lacking. The unpredictable behavior and differing biophysical characteristics of different cell types has made making such generalizations less straightforward, as an understanding of individualized cell behavior is becoming of increasing importance.</w:t>
      </w:r>
    </w:p>
    <w:p w:rsidR="00D24CFB" w:rsidRPr="00D24CFB" w:rsidRDefault="00D24CFB" w:rsidP="00D24CFB">
      <w:pPr>
        <w:shd w:val="clear" w:color="auto" w:fill="FFFFFF"/>
        <w:spacing w:after="150" w:line="300" w:lineRule="atLeast"/>
        <w:rPr>
          <w:rFonts w:ascii="Helvetica" w:eastAsia="Times New Roman" w:hAnsi="Helvetica" w:cs="Helvetica"/>
          <w:noProof/>
          <w:color w:val="666666"/>
        </w:rPr>
      </w:pPr>
      <w:r w:rsidRPr="00D24CFB">
        <w:rPr>
          <w:rFonts w:ascii="Helvetica" w:eastAsia="Times New Roman" w:hAnsi="Helvetica" w:cs="Helvetica"/>
          <w:noProof/>
          <w:color w:val="666666"/>
        </w:rPr>
        <w:t>A recent study by the University of Leuven in Belgium sought to bring some more clarity to these issues. The authors compared seven different freezing and thawing protocols using human amniotic fluid-derived stem cells.</w:t>
      </w:r>
    </w:p>
    <w:p w:rsidR="00D24CFB" w:rsidRPr="00D24CFB" w:rsidRDefault="00D24CFB" w:rsidP="00D24CFB">
      <w:pPr>
        <w:shd w:val="clear" w:color="auto" w:fill="FFFFFF"/>
        <w:spacing w:after="150" w:line="300" w:lineRule="atLeast"/>
        <w:rPr>
          <w:rFonts w:ascii="Helvetica" w:eastAsia="Times New Roman" w:hAnsi="Helvetica" w:cs="Helvetica"/>
          <w:noProof/>
          <w:color w:val="666666"/>
        </w:rPr>
      </w:pPr>
      <w:r w:rsidRPr="00D24CFB">
        <w:rPr>
          <w:rFonts w:ascii="Helvetica" w:eastAsia="Times New Roman" w:hAnsi="Helvetica" w:cs="Helvetica"/>
          <w:noProof/>
          <w:color w:val="666666"/>
        </w:rPr>
        <w:t>These were:</w:t>
      </w:r>
    </w:p>
    <w:p w:rsidR="00D24CFB" w:rsidRPr="00D24CFB" w:rsidRDefault="00D24CFB" w:rsidP="00D24CFB">
      <w:pPr>
        <w:numPr>
          <w:ilvl w:val="0"/>
          <w:numId w:val="1"/>
        </w:numPr>
        <w:shd w:val="clear" w:color="auto" w:fill="FFFFFF"/>
        <w:spacing w:before="100" w:beforeAutospacing="1" w:after="100" w:afterAutospacing="1" w:line="300" w:lineRule="atLeast"/>
        <w:ind w:left="375"/>
        <w:rPr>
          <w:rFonts w:ascii="Helvetica" w:eastAsia="Times New Roman" w:hAnsi="Helvetica" w:cs="Helvetica"/>
          <w:noProof/>
          <w:color w:val="666666"/>
          <w:sz w:val="26"/>
          <w:szCs w:val="26"/>
        </w:rPr>
      </w:pPr>
      <w:r w:rsidRPr="00D24CFB">
        <w:rPr>
          <w:rFonts w:ascii="Helvetica" w:eastAsia="Times New Roman" w:hAnsi="Helvetica" w:cs="Helvetica"/>
          <w:noProof/>
          <w:color w:val="666666"/>
          <w:sz w:val="26"/>
          <w:szCs w:val="26"/>
        </w:rPr>
        <w:t>(1) 10% dimethyl sulfoxide (DMSO)</w:t>
      </w:r>
    </w:p>
    <w:p w:rsidR="00D24CFB" w:rsidRPr="00D24CFB" w:rsidRDefault="00D24CFB" w:rsidP="00D24CFB">
      <w:pPr>
        <w:numPr>
          <w:ilvl w:val="0"/>
          <w:numId w:val="1"/>
        </w:numPr>
        <w:shd w:val="clear" w:color="auto" w:fill="FFFFFF"/>
        <w:spacing w:before="100" w:beforeAutospacing="1" w:after="100" w:afterAutospacing="1" w:line="300" w:lineRule="atLeast"/>
        <w:ind w:left="375"/>
        <w:rPr>
          <w:rFonts w:ascii="Helvetica" w:eastAsia="Times New Roman" w:hAnsi="Helvetica" w:cs="Helvetica"/>
          <w:noProof/>
          <w:color w:val="666666"/>
          <w:sz w:val="26"/>
          <w:szCs w:val="26"/>
        </w:rPr>
      </w:pPr>
      <w:r w:rsidRPr="00D24CFB">
        <w:rPr>
          <w:rFonts w:ascii="Helvetica" w:eastAsia="Times New Roman" w:hAnsi="Helvetica" w:cs="Helvetica"/>
          <w:noProof/>
          <w:color w:val="666666"/>
          <w:sz w:val="26"/>
          <w:szCs w:val="26"/>
        </w:rPr>
        <w:t>(2) 2.5% DMSO, caspase inhibitor, and catalase</w:t>
      </w:r>
    </w:p>
    <w:p w:rsidR="00D24CFB" w:rsidRPr="00D24CFB" w:rsidRDefault="00D24CFB" w:rsidP="00D24CFB">
      <w:pPr>
        <w:numPr>
          <w:ilvl w:val="0"/>
          <w:numId w:val="1"/>
        </w:numPr>
        <w:shd w:val="clear" w:color="auto" w:fill="FFFFFF"/>
        <w:spacing w:before="100" w:beforeAutospacing="1" w:after="100" w:afterAutospacing="1" w:line="300" w:lineRule="atLeast"/>
        <w:ind w:left="375"/>
        <w:rPr>
          <w:rFonts w:ascii="Helvetica" w:eastAsia="Times New Roman" w:hAnsi="Helvetica" w:cs="Helvetica"/>
          <w:noProof/>
          <w:color w:val="666666"/>
          <w:sz w:val="26"/>
          <w:szCs w:val="26"/>
        </w:rPr>
      </w:pPr>
      <w:r w:rsidRPr="00D24CFB">
        <w:rPr>
          <w:rFonts w:ascii="Helvetica" w:eastAsia="Times New Roman" w:hAnsi="Helvetica" w:cs="Helvetica"/>
          <w:noProof/>
          <w:color w:val="666666"/>
          <w:sz w:val="26"/>
          <w:szCs w:val="26"/>
        </w:rPr>
        <w:t>(3) 5% glycerol, caspase inhibitor, and catalase</w:t>
      </w:r>
    </w:p>
    <w:p w:rsidR="00D24CFB" w:rsidRPr="00D24CFB" w:rsidRDefault="00D24CFB" w:rsidP="00D24CFB">
      <w:pPr>
        <w:numPr>
          <w:ilvl w:val="0"/>
          <w:numId w:val="1"/>
        </w:numPr>
        <w:shd w:val="clear" w:color="auto" w:fill="FFFFFF"/>
        <w:spacing w:before="100" w:beforeAutospacing="1" w:after="100" w:afterAutospacing="1" w:line="300" w:lineRule="atLeast"/>
        <w:ind w:left="375"/>
        <w:rPr>
          <w:rFonts w:ascii="Helvetica" w:eastAsia="Times New Roman" w:hAnsi="Helvetica" w:cs="Helvetica"/>
          <w:noProof/>
          <w:color w:val="666666"/>
          <w:sz w:val="26"/>
          <w:szCs w:val="26"/>
        </w:rPr>
      </w:pPr>
      <w:r w:rsidRPr="00D24CFB">
        <w:rPr>
          <w:rFonts w:ascii="Helvetica" w:eastAsia="Times New Roman" w:hAnsi="Helvetica" w:cs="Helvetica"/>
          <w:noProof/>
          <w:color w:val="666666"/>
          <w:sz w:val="26"/>
          <w:szCs w:val="26"/>
        </w:rPr>
        <w:t>(4) sperm freezing medium</w:t>
      </w:r>
    </w:p>
    <w:p w:rsidR="00D24CFB" w:rsidRPr="00D24CFB" w:rsidRDefault="00D24CFB" w:rsidP="00D24CFB">
      <w:pPr>
        <w:numPr>
          <w:ilvl w:val="0"/>
          <w:numId w:val="1"/>
        </w:numPr>
        <w:shd w:val="clear" w:color="auto" w:fill="FFFFFF"/>
        <w:spacing w:before="100" w:beforeAutospacing="1" w:after="100" w:afterAutospacing="1" w:line="300" w:lineRule="atLeast"/>
        <w:ind w:left="375"/>
        <w:rPr>
          <w:rFonts w:ascii="Helvetica" w:eastAsia="Times New Roman" w:hAnsi="Helvetica" w:cs="Helvetica"/>
          <w:noProof/>
          <w:color w:val="666666"/>
          <w:sz w:val="26"/>
          <w:szCs w:val="26"/>
        </w:rPr>
      </w:pPr>
      <w:r w:rsidRPr="00D24CFB">
        <w:rPr>
          <w:rFonts w:ascii="Helvetica" w:eastAsia="Times New Roman" w:hAnsi="Helvetica" w:cs="Helvetica"/>
          <w:noProof/>
          <w:color w:val="666666"/>
          <w:sz w:val="26"/>
          <w:szCs w:val="26"/>
        </w:rPr>
        <w:t>(5) slow-freezing solution</w:t>
      </w:r>
    </w:p>
    <w:p w:rsidR="00D24CFB" w:rsidRPr="00D24CFB" w:rsidRDefault="00D24CFB" w:rsidP="00D24CFB">
      <w:pPr>
        <w:numPr>
          <w:ilvl w:val="0"/>
          <w:numId w:val="1"/>
        </w:numPr>
        <w:shd w:val="clear" w:color="auto" w:fill="FFFFFF"/>
        <w:spacing w:before="100" w:beforeAutospacing="1" w:after="100" w:afterAutospacing="1" w:line="300" w:lineRule="atLeast"/>
        <w:ind w:left="375"/>
        <w:rPr>
          <w:rFonts w:ascii="Helvetica" w:eastAsia="Times New Roman" w:hAnsi="Helvetica" w:cs="Helvetica"/>
          <w:noProof/>
          <w:color w:val="666666"/>
          <w:sz w:val="26"/>
          <w:szCs w:val="26"/>
        </w:rPr>
      </w:pPr>
      <w:r w:rsidRPr="00D24CFB">
        <w:rPr>
          <w:rFonts w:ascii="Helvetica" w:eastAsia="Times New Roman" w:hAnsi="Helvetica" w:cs="Helvetica"/>
          <w:noProof/>
          <w:color w:val="666666"/>
          <w:sz w:val="26"/>
          <w:szCs w:val="26"/>
        </w:rPr>
        <w:t>(6) ethylene glycol, sucrose, and Ficoll 70</w:t>
      </w:r>
    </w:p>
    <w:p w:rsidR="00D24CFB" w:rsidRPr="00D24CFB" w:rsidRDefault="00D24CFB" w:rsidP="00D24CFB">
      <w:pPr>
        <w:numPr>
          <w:ilvl w:val="0"/>
          <w:numId w:val="1"/>
        </w:numPr>
        <w:shd w:val="clear" w:color="auto" w:fill="FFFFFF"/>
        <w:spacing w:before="100" w:beforeAutospacing="1" w:after="100" w:afterAutospacing="1" w:line="300" w:lineRule="atLeast"/>
        <w:ind w:left="375"/>
        <w:rPr>
          <w:rFonts w:ascii="Helvetica" w:eastAsia="Times New Roman" w:hAnsi="Helvetica" w:cs="Helvetica"/>
          <w:noProof/>
          <w:color w:val="666666"/>
          <w:sz w:val="26"/>
          <w:szCs w:val="26"/>
        </w:rPr>
      </w:pPr>
      <w:r w:rsidRPr="00D24CFB">
        <w:rPr>
          <w:rFonts w:ascii="Helvetica" w:eastAsia="Times New Roman" w:hAnsi="Helvetica" w:cs="Helvetica"/>
          <w:noProof/>
          <w:color w:val="666666"/>
          <w:sz w:val="26"/>
          <w:szCs w:val="26"/>
        </w:rPr>
        <w:t>(7) vitrification solution</w:t>
      </w:r>
    </w:p>
    <w:p w:rsidR="00D24CFB" w:rsidRPr="00D24CFB" w:rsidRDefault="00D24CFB" w:rsidP="00D24CFB">
      <w:pPr>
        <w:shd w:val="clear" w:color="auto" w:fill="FFFFFF"/>
        <w:spacing w:after="150" w:line="300" w:lineRule="atLeast"/>
        <w:rPr>
          <w:rFonts w:ascii="Helvetica" w:eastAsia="Times New Roman" w:hAnsi="Helvetica" w:cs="Helvetica"/>
          <w:noProof/>
          <w:color w:val="666666"/>
        </w:rPr>
      </w:pPr>
      <w:r w:rsidRPr="00D24CFB">
        <w:rPr>
          <w:rFonts w:ascii="Helvetica" w:eastAsia="Times New Roman" w:hAnsi="Helvetica" w:cs="Helvetica"/>
          <w:noProof/>
          <w:color w:val="666666"/>
        </w:rPr>
        <w:t>Medium 4, sperm freezing medium, was Irvine Scientific’s TYB Freezing Medium, solution 6 was Vitrolife’s FreezeKit medium, while the vitrification solution (7) was Vitrolife’s RapidVit vitrification kit.</w:t>
      </w:r>
    </w:p>
    <w:p w:rsidR="00D24CFB" w:rsidRPr="00D24CFB" w:rsidRDefault="00D24CFB" w:rsidP="00D24CFB">
      <w:pPr>
        <w:shd w:val="clear" w:color="auto" w:fill="FFFFFF"/>
        <w:spacing w:after="150" w:line="300" w:lineRule="atLeast"/>
        <w:rPr>
          <w:rFonts w:ascii="Helvetica" w:eastAsia="Times New Roman" w:hAnsi="Helvetica" w:cs="Helvetica"/>
          <w:noProof/>
          <w:color w:val="666666"/>
        </w:rPr>
      </w:pPr>
      <w:r w:rsidRPr="00D24CFB">
        <w:rPr>
          <w:rFonts w:ascii="Helvetica" w:eastAsia="Times New Roman" w:hAnsi="Helvetica" w:cs="Helvetica"/>
          <w:noProof/>
          <w:color w:val="666666"/>
        </w:rPr>
        <w:t>While protocols 1, 2, 5 and 6 resulted in successful recovery of hAFSCs based on live/dead assay, a lower CD marker expression profile was much weaker for protocol 2.</w:t>
      </w:r>
    </w:p>
    <w:p w:rsidR="00D24CFB" w:rsidRPr="00D24CFB" w:rsidRDefault="00D24CFB" w:rsidP="00D24CFB">
      <w:pPr>
        <w:shd w:val="clear" w:color="auto" w:fill="FFFFFF"/>
        <w:spacing w:after="150" w:line="300" w:lineRule="atLeast"/>
        <w:rPr>
          <w:rFonts w:ascii="Helvetica" w:eastAsia="Times New Roman" w:hAnsi="Helvetica" w:cs="Helvetica"/>
          <w:noProof/>
          <w:color w:val="666666"/>
        </w:rPr>
      </w:pPr>
      <w:r w:rsidRPr="00D24CFB">
        <w:rPr>
          <w:rFonts w:ascii="Helvetica" w:eastAsia="Times New Roman" w:hAnsi="Helvetica" w:cs="Helvetica"/>
          <w:noProof/>
          <w:color w:val="666666"/>
        </w:rPr>
        <w:t>Expression levels of GAPDH, Oct-4, SOX17, vimentin, KSP and NCAM showed increased SOX17 gene expression for protocols 1, 2 and 6 compared to the unfrozen control samples.</w:t>
      </w:r>
    </w:p>
    <w:p w:rsidR="00D24CFB" w:rsidRPr="00D24CFB" w:rsidRDefault="00D24CFB" w:rsidP="00D24CFB">
      <w:pPr>
        <w:shd w:val="clear" w:color="auto" w:fill="FFFFFF"/>
        <w:spacing w:after="150" w:line="300" w:lineRule="atLeast"/>
        <w:rPr>
          <w:rFonts w:ascii="Helvetica" w:eastAsia="Times New Roman" w:hAnsi="Helvetica" w:cs="Helvetica"/>
          <w:noProof/>
          <w:color w:val="666666"/>
        </w:rPr>
      </w:pPr>
      <w:r w:rsidRPr="00D24CFB">
        <w:rPr>
          <w:rFonts w:ascii="Helvetica" w:eastAsia="Times New Roman" w:hAnsi="Helvetica" w:cs="Helvetica"/>
          <w:noProof/>
          <w:color w:val="666666"/>
        </w:rPr>
        <w:t>Taking all of the results into account, the authors identified approaches 1, 5 and 6 as being superior in terms of recovery of cells by yielding a significant amount of cells with strong surface marker expression.</w:t>
      </w:r>
    </w:p>
    <w:p w:rsidR="00D24CFB" w:rsidRPr="00D24CFB" w:rsidRDefault="00D24CFB" w:rsidP="00D24CFB">
      <w:pPr>
        <w:shd w:val="clear" w:color="auto" w:fill="FFFFFF"/>
        <w:spacing w:after="150" w:line="300" w:lineRule="atLeast"/>
        <w:rPr>
          <w:rFonts w:ascii="Helvetica" w:eastAsia="Times New Roman" w:hAnsi="Helvetica" w:cs="Helvetica"/>
          <w:noProof/>
          <w:color w:val="666666"/>
        </w:rPr>
      </w:pPr>
      <w:r w:rsidRPr="00D24CFB">
        <w:rPr>
          <w:rFonts w:ascii="Helvetica" w:eastAsia="Times New Roman" w:hAnsi="Helvetica" w:cs="Helvetica"/>
          <w:noProof/>
          <w:color w:val="666666"/>
        </w:rPr>
        <w:lastRenderedPageBreak/>
        <w:drawing>
          <wp:inline distT="0" distB="0" distL="0" distR="0">
            <wp:extent cx="6715125" cy="2971800"/>
            <wp:effectExtent l="19050" t="0" r="9525" b="0"/>
            <wp:docPr id="1" name="Picture 1" descr="Screen Shot 2015-02-15 at 6.18.18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02-15 at 6.18.18 PM"/>
                    <pic:cNvPicPr>
                      <a:picLocks noChangeAspect="1" noChangeArrowheads="1"/>
                    </pic:cNvPicPr>
                  </pic:nvPicPr>
                  <pic:blipFill>
                    <a:blip r:embed="rId8"/>
                    <a:srcRect/>
                    <a:stretch>
                      <a:fillRect/>
                    </a:stretch>
                  </pic:blipFill>
                  <pic:spPr bwMode="auto">
                    <a:xfrm>
                      <a:off x="0" y="0"/>
                      <a:ext cx="6715125" cy="2971800"/>
                    </a:xfrm>
                    <a:prstGeom prst="rect">
                      <a:avLst/>
                    </a:prstGeom>
                    <a:noFill/>
                    <a:ln w="9525">
                      <a:noFill/>
                      <a:miter lim="800000"/>
                      <a:headEnd/>
                      <a:tailEnd/>
                    </a:ln>
                  </pic:spPr>
                </pic:pic>
              </a:graphicData>
            </a:graphic>
          </wp:inline>
        </w:drawing>
      </w:r>
    </w:p>
    <w:p w:rsidR="00D24CFB" w:rsidRPr="00D24CFB" w:rsidRDefault="00D24CFB" w:rsidP="00D24CFB">
      <w:pPr>
        <w:shd w:val="clear" w:color="auto" w:fill="FFFFFF"/>
        <w:spacing w:after="150" w:line="300" w:lineRule="atLeast"/>
        <w:rPr>
          <w:rFonts w:ascii="Helvetica" w:eastAsia="Times New Roman" w:hAnsi="Helvetica" w:cs="Helvetica"/>
          <w:noProof/>
          <w:color w:val="666666"/>
        </w:rPr>
      </w:pPr>
      <w:r w:rsidRPr="00D24CFB">
        <w:rPr>
          <w:rFonts w:ascii="Helvetica" w:eastAsia="Times New Roman" w:hAnsi="Helvetica" w:cs="Helvetica"/>
          <w:noProof/>
          <w:color w:val="666666"/>
        </w:rPr>
        <w:t> </w:t>
      </w:r>
    </w:p>
    <w:p w:rsidR="00D24CFB" w:rsidRPr="00D24CFB" w:rsidRDefault="00D24CFB" w:rsidP="00D24CFB">
      <w:pPr>
        <w:shd w:val="clear" w:color="auto" w:fill="FFFFFF"/>
        <w:spacing w:after="150" w:line="300" w:lineRule="atLeast"/>
        <w:rPr>
          <w:rFonts w:ascii="Helvetica" w:eastAsia="Times New Roman" w:hAnsi="Helvetica" w:cs="Helvetica"/>
          <w:noProof/>
          <w:color w:val="666666"/>
        </w:rPr>
      </w:pPr>
      <w:r w:rsidRPr="00D24CFB">
        <w:rPr>
          <w:rFonts w:ascii="Helvetica" w:eastAsia="Times New Roman" w:hAnsi="Helvetica" w:cs="Helvetica"/>
          <w:noProof/>
          <w:color w:val="666666"/>
        </w:rPr>
        <w:t>Out of these, the slow-freezing solution (5) was identified by the authors as being the most robust in terms of cell recovery and desirable properties after thawing, and recommendations were made as to its clinical use.</w:t>
      </w:r>
    </w:p>
    <w:p w:rsidR="00D24CFB" w:rsidRPr="00D24CFB" w:rsidRDefault="00D24CFB" w:rsidP="00D24CFB">
      <w:pPr>
        <w:shd w:val="clear" w:color="auto" w:fill="FFFFFF"/>
        <w:spacing w:after="150" w:line="300" w:lineRule="atLeast"/>
        <w:rPr>
          <w:rFonts w:ascii="Helvetica" w:eastAsia="Times New Roman" w:hAnsi="Helvetica" w:cs="Helvetica"/>
          <w:noProof/>
          <w:color w:val="666666"/>
        </w:rPr>
      </w:pPr>
      <w:r w:rsidRPr="00D24CFB">
        <w:rPr>
          <w:rFonts w:ascii="Helvetica" w:eastAsia="Times New Roman" w:hAnsi="Helvetica" w:cs="Helvetica"/>
          <w:noProof/>
          <w:color w:val="666666"/>
        </w:rPr>
        <w:t>While these are preliminary results that apply to stem cells derived from amniotic fluids, the paper raises important points about the development of freezing solutions by highlighting the important fact that cell-specific behavior does not necessarily show consistency across a range of assays when analyzing treatment response and that multiple analyses need to be considered as a whole.</w:t>
      </w:r>
    </w:p>
    <w:p w:rsidR="00D24CFB" w:rsidRPr="00D24CFB" w:rsidRDefault="00D24CFB" w:rsidP="00D24CFB">
      <w:pPr>
        <w:shd w:val="clear" w:color="auto" w:fill="FFFFFF"/>
        <w:spacing w:after="150" w:line="300" w:lineRule="atLeast"/>
        <w:rPr>
          <w:rFonts w:ascii="Helvetica" w:eastAsia="Times New Roman" w:hAnsi="Helvetica" w:cs="Helvetica"/>
          <w:noProof/>
          <w:color w:val="666666"/>
        </w:rPr>
      </w:pPr>
      <w:r w:rsidRPr="00D24CFB">
        <w:rPr>
          <w:rFonts w:ascii="Helvetica" w:eastAsia="Times New Roman" w:hAnsi="Helvetica" w:cs="Helvetica"/>
          <w:noProof/>
          <w:color w:val="666666"/>
        </w:rPr>
        <w:t>At Akron, we have been investigating a range of new solutions for cell cryopreservation that are both DMSO-based as well as DMSO-free and have developed a strong know-how of products and solutions for various cell types, particularly those that are free from DMSO. If you have any questions or need help understanding your options for cell cryopreservation (without or with DMSO), feel free to get in touch with us via email at </w:t>
      </w:r>
      <w:hyperlink r:id="rId9" w:history="1">
        <w:r w:rsidRPr="00D24CFB">
          <w:rPr>
            <w:rFonts w:ascii="Helvetica" w:eastAsia="Times New Roman" w:hAnsi="Helvetica" w:cs="Helvetica"/>
            <w:noProof/>
            <w:color w:val="6D61B6"/>
          </w:rPr>
          <w:t>info@akronbiotech.com</w:t>
        </w:r>
      </w:hyperlink>
      <w:r w:rsidRPr="00D24CFB">
        <w:rPr>
          <w:rFonts w:ascii="Helvetica" w:eastAsia="Times New Roman" w:hAnsi="Helvetica" w:cs="Helvetica"/>
          <w:noProof/>
          <w:color w:val="666666"/>
        </w:rPr>
        <w:t>.</w:t>
      </w:r>
    </w:p>
    <w:p w:rsidR="00D24CFB" w:rsidRPr="00D24CFB" w:rsidRDefault="00D24CFB">
      <w:pPr>
        <w:rPr>
          <w:noProof/>
        </w:rPr>
      </w:pPr>
      <w:permStart w:id="0" w:edGrp="everyone"/>
      <w:permEnd w:id="0"/>
    </w:p>
    <w:sectPr w:rsidR="00D24CFB" w:rsidRPr="00D24CFB" w:rsidSect="00B64C7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5CD3"/>
    <w:multiLevelType w:val="multilevel"/>
    <w:tmpl w:val="BEFC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OVyLhDxEZv4ZyXyo0O823QwDSrU=" w:salt="cAYRaylL4Eep51OnCdmEVA=="/>
  <w:defaultTabStop w:val="720"/>
  <w:characterSpacingControl w:val="doNotCompress"/>
  <w:compat>
    <w:useFELayout/>
  </w:compat>
  <w:rsids>
    <w:rsidRoot w:val="00D24CFB"/>
    <w:rsid w:val="00235E8D"/>
    <w:rsid w:val="00A26658"/>
    <w:rsid w:val="00B64C7D"/>
    <w:rsid w:val="00C452EA"/>
    <w:rsid w:val="00D24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7D"/>
  </w:style>
  <w:style w:type="paragraph" w:styleId="Heading3">
    <w:name w:val="heading 3"/>
    <w:basedOn w:val="Normal"/>
    <w:link w:val="Heading3Char"/>
    <w:uiPriority w:val="9"/>
    <w:qFormat/>
    <w:rsid w:val="00D24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CF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4CFB"/>
    <w:rPr>
      <w:color w:val="0000FF"/>
      <w:u w:val="single"/>
    </w:rPr>
  </w:style>
  <w:style w:type="character" w:customStyle="1" w:styleId="posted-date">
    <w:name w:val="posted-date"/>
    <w:basedOn w:val="DefaultParagraphFont"/>
    <w:rsid w:val="00D24CFB"/>
  </w:style>
  <w:style w:type="character" w:customStyle="1" w:styleId="apple-converted-space">
    <w:name w:val="apple-converted-space"/>
    <w:basedOn w:val="DefaultParagraphFont"/>
    <w:rsid w:val="00D24CFB"/>
  </w:style>
  <w:style w:type="character" w:customStyle="1" w:styleId="updated-date">
    <w:name w:val="updated-date"/>
    <w:basedOn w:val="DefaultParagraphFont"/>
    <w:rsid w:val="00D24CFB"/>
  </w:style>
  <w:style w:type="paragraph" w:styleId="NormalWeb">
    <w:name w:val="Normal (Web)"/>
    <w:basedOn w:val="Normal"/>
    <w:uiPriority w:val="99"/>
    <w:semiHidden/>
    <w:unhideWhenUsed/>
    <w:rsid w:val="00D24C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37110">
      <w:bodyDiv w:val="1"/>
      <w:marLeft w:val="0"/>
      <w:marRight w:val="0"/>
      <w:marTop w:val="0"/>
      <w:marBottom w:val="0"/>
      <w:divBdr>
        <w:top w:val="none" w:sz="0" w:space="0" w:color="auto"/>
        <w:left w:val="none" w:sz="0" w:space="0" w:color="auto"/>
        <w:bottom w:val="none" w:sz="0" w:space="0" w:color="auto"/>
        <w:right w:val="none" w:sz="0" w:space="0" w:color="auto"/>
      </w:divBdr>
    </w:div>
    <w:div w:id="11887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log.akronbiotech.com/2015/02/15/cryopreservation-of-stem-cells-evaluating-approaches-for-clinical-potent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akronbiotech.com/2015/02/15/cryopreservation-of-stem-cells-evaluating-approaches-for-clinical-potential/" TargetMode="External"/><Relationship Id="rId11" Type="http://schemas.openxmlformats.org/officeDocument/2006/relationships/theme" Target="theme/theme1.xml"/><Relationship Id="rId5" Type="http://schemas.openxmlformats.org/officeDocument/2006/relationships/hyperlink" Target="http://blog.akronbiotech.com/2015/02/15/cryopreservation-of-stem-cells-evaluating-approaches-for-clinical-potenti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kronbio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2907</Characters>
  <Application>Microsoft Office Word</Application>
  <DocSecurity>8</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2015-02-16T21:16:00Z</dcterms:created>
  <dcterms:modified xsi:type="dcterms:W3CDTF">2015-02-19T02:18:00Z</dcterms:modified>
</cp:coreProperties>
</file>